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D1473" w:rsidRPr="002D1473" w:rsidRDefault="006F6161" w:rsidP="006F6161">
      <w:pPr>
        <w:spacing w:after="0" w:line="240" w:lineRule="auto"/>
        <w:rPr>
          <w:rFonts w:ascii="Times New Roman" w:eastAsia="Batang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Batang" w:hAnsi="Times New Roman" w:cs="Times New Roman"/>
          <w:b/>
          <w:sz w:val="24"/>
          <w:szCs w:val="24"/>
          <w:lang w:eastAsia="ar-SA"/>
        </w:rPr>
        <w:t xml:space="preserve">  </w:t>
      </w:r>
      <w:r w:rsidR="005E0631">
        <w:rPr>
          <w:rFonts w:ascii="Times New Roman" w:eastAsia="Batang" w:hAnsi="Times New Roman" w:cs="Times New Roman"/>
          <w:b/>
          <w:sz w:val="24"/>
          <w:szCs w:val="24"/>
          <w:lang w:eastAsia="ar-SA"/>
        </w:rPr>
        <w:t>4</w:t>
      </w:r>
      <w:r w:rsidR="009246C3">
        <w:rPr>
          <w:rFonts w:ascii="Times New Roman" w:eastAsia="Batang" w:hAnsi="Times New Roman" w:cs="Times New Roman"/>
          <w:b/>
          <w:sz w:val="24"/>
          <w:szCs w:val="24"/>
          <w:lang w:eastAsia="ar-SA"/>
        </w:rPr>
        <w:t>2</w:t>
      </w:r>
      <w:bookmarkStart w:id="0" w:name="_GoBack"/>
      <w:bookmarkEnd w:id="0"/>
      <w:r w:rsidR="002D1473" w:rsidRPr="002D1473">
        <w:rPr>
          <w:rFonts w:ascii="Times New Roman" w:eastAsia="Batang" w:hAnsi="Times New Roman" w:cs="Times New Roman"/>
          <w:b/>
          <w:sz w:val="24"/>
          <w:szCs w:val="24"/>
          <w:lang w:eastAsia="ar-SA"/>
        </w:rPr>
        <w:t>.</w:t>
      </w:r>
      <w:r w:rsidRPr="006F6161">
        <w:t xml:space="preserve"> </w:t>
      </w:r>
      <w:r w:rsidR="006C0315" w:rsidRPr="006C0315">
        <w:rPr>
          <w:rFonts w:ascii="Times New Roman" w:eastAsia="Batang" w:hAnsi="Times New Roman" w:cs="Times New Roman"/>
          <w:b/>
          <w:sz w:val="24"/>
          <w:szCs w:val="24"/>
          <w:lang w:eastAsia="ar-SA"/>
        </w:rPr>
        <w:t>Установка резервуарная с.</w:t>
      </w:r>
      <w:r w:rsidR="005B7A22">
        <w:rPr>
          <w:rFonts w:ascii="Times New Roman" w:eastAsia="Batang" w:hAnsi="Times New Roman" w:cs="Times New Roman"/>
          <w:b/>
          <w:sz w:val="24"/>
          <w:szCs w:val="24"/>
          <w:lang w:eastAsia="ar-SA"/>
        </w:rPr>
        <w:t xml:space="preserve"> </w:t>
      </w:r>
      <w:r w:rsidR="006C0315" w:rsidRPr="006C0315">
        <w:rPr>
          <w:rFonts w:ascii="Times New Roman" w:eastAsia="Batang" w:hAnsi="Times New Roman" w:cs="Times New Roman"/>
          <w:b/>
          <w:sz w:val="24"/>
          <w:szCs w:val="24"/>
          <w:lang w:eastAsia="ar-SA"/>
        </w:rPr>
        <w:t>Колосовка</w:t>
      </w:r>
      <w:r w:rsidR="002D1473" w:rsidRPr="002D1473">
        <w:rPr>
          <w:rFonts w:ascii="Times New Roman" w:eastAsia="Batang" w:hAnsi="Times New Roman" w:cs="Times New Roman"/>
          <w:b/>
          <w:sz w:val="24"/>
          <w:szCs w:val="24"/>
          <w:lang w:eastAsia="ar-SA"/>
        </w:rPr>
        <w:tab/>
        <w:t>А61-00027-0</w:t>
      </w:r>
      <w:r w:rsidR="001F2659">
        <w:rPr>
          <w:rFonts w:ascii="Times New Roman" w:eastAsia="Batang" w:hAnsi="Times New Roman" w:cs="Times New Roman"/>
          <w:b/>
          <w:sz w:val="24"/>
          <w:szCs w:val="24"/>
          <w:lang w:eastAsia="ar-SA"/>
        </w:rPr>
        <w:t>0</w:t>
      </w:r>
      <w:r w:rsidR="006C0315">
        <w:rPr>
          <w:rFonts w:ascii="Times New Roman" w:eastAsia="Batang" w:hAnsi="Times New Roman" w:cs="Times New Roman"/>
          <w:b/>
          <w:sz w:val="24"/>
          <w:szCs w:val="24"/>
          <w:lang w:eastAsia="ar-SA"/>
        </w:rPr>
        <w:t>73</w:t>
      </w:r>
    </w:p>
    <w:p w:rsidR="002D1473" w:rsidRPr="002D1473" w:rsidRDefault="002D1473" w:rsidP="002D1473">
      <w:pPr>
        <w:spacing w:after="0" w:line="240" w:lineRule="auto"/>
        <w:jc w:val="center"/>
        <w:rPr>
          <w:rFonts w:ascii="Times New Roman" w:eastAsia="Batang" w:hAnsi="Times New Roman" w:cs="Times New Roman"/>
          <w:b/>
          <w:sz w:val="24"/>
          <w:szCs w:val="24"/>
          <w:lang w:eastAsia="ar-SA"/>
        </w:rPr>
      </w:pPr>
    </w:p>
    <w:p w:rsidR="002D1473" w:rsidRPr="002D1473" w:rsidRDefault="002D1473" w:rsidP="002D1473">
      <w:pPr>
        <w:spacing w:after="0" w:line="240" w:lineRule="auto"/>
        <w:jc w:val="center"/>
        <w:rPr>
          <w:rFonts w:ascii="Times New Roman" w:eastAsia="Batang" w:hAnsi="Times New Roman" w:cs="Times New Roman"/>
          <w:b/>
          <w:sz w:val="24"/>
          <w:szCs w:val="24"/>
          <w:lang w:eastAsia="ar-SA"/>
        </w:rPr>
      </w:pPr>
      <w:r w:rsidRPr="002D1473">
        <w:rPr>
          <w:rFonts w:ascii="Times New Roman" w:eastAsia="Batang" w:hAnsi="Times New Roman" w:cs="Times New Roman"/>
          <w:b/>
          <w:sz w:val="24"/>
          <w:szCs w:val="24"/>
          <w:lang w:eastAsia="ar-SA"/>
        </w:rPr>
        <w:t>1. СВЕДЕНИЯ О ТЕХНИЧЕСКОЙ БЕЗОПАСНОСТИ ОПАСНОГО ОБЪЕКТА</w:t>
      </w:r>
    </w:p>
    <w:p w:rsidR="002D1473" w:rsidRPr="002D1473" w:rsidRDefault="002D1473" w:rsidP="002D1473">
      <w:pPr>
        <w:spacing w:after="0" w:line="240" w:lineRule="auto"/>
        <w:jc w:val="center"/>
        <w:rPr>
          <w:rFonts w:ascii="Times New Roman" w:eastAsia="Batang" w:hAnsi="Times New Roman" w:cs="Times New Roman"/>
          <w:sz w:val="24"/>
          <w:szCs w:val="24"/>
          <w:lang w:eastAsia="ar-SA"/>
        </w:rPr>
      </w:pPr>
    </w:p>
    <w:tbl>
      <w:tblPr>
        <w:tblW w:w="9872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1101"/>
        <w:gridCol w:w="10"/>
        <w:gridCol w:w="6179"/>
        <w:gridCol w:w="48"/>
        <w:gridCol w:w="10"/>
        <w:gridCol w:w="784"/>
        <w:gridCol w:w="9"/>
        <w:gridCol w:w="47"/>
        <w:gridCol w:w="1684"/>
      </w:tblGrid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1.1.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Batang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Год ввода объекта в эксплуатацию </w:t>
            </w:r>
            <w:r w:rsidRPr="002D1473">
              <w:rPr>
                <w:rFonts w:ascii="Times New Roman" w:eastAsia="Batang" w:hAnsi="Times New Roman" w:cs="Times New Roman"/>
                <w:sz w:val="20"/>
                <w:szCs w:val="20"/>
                <w:lang w:eastAsia="ar-SA"/>
              </w:rPr>
              <w:t>[А, Б, Р]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337B27" w:rsidP="006C0315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19</w:t>
            </w:r>
            <w:r w:rsidR="009E62AB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8</w:t>
            </w:r>
            <w:r w:rsidR="006C0315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3</w:t>
            </w:r>
          </w:p>
        </w:tc>
        <w:tc>
          <w:tcPr>
            <w:tcW w:w="174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год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1.2.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Batang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Износ производственных фондов </w:t>
            </w:r>
            <w:r w:rsidRPr="002D1473">
              <w:rPr>
                <w:rFonts w:ascii="Times New Roman" w:eastAsia="Batang" w:hAnsi="Times New Roman" w:cs="Times New Roman"/>
                <w:sz w:val="20"/>
                <w:szCs w:val="20"/>
                <w:lang w:eastAsia="ar-SA"/>
              </w:rPr>
              <w:t>[Б]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1770C8" w:rsidP="00FF07A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68</w:t>
            </w:r>
          </w:p>
        </w:tc>
        <w:tc>
          <w:tcPr>
            <w:tcW w:w="174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%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1.3.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Технические решения по обеспечению безопасности технологического процесса [Т, ПБ, ТР]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1.3.1.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Технические решения, направленные на исключение разгерметизации оборудования и предупреждение аварийных выбросов опасных веществ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1.3.1.1.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Технические решения, направленные на предотвращение разгерметизации оборудования и трубопроводов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740" w:type="dxa"/>
            <w:gridSpan w:val="3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«нет», «не требуется»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1.3.1.2.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Технические решения по герметизации оборудования и его узлов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1.3.2.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Технические решения, направленные на предупреждение развития аварий и локализацию выбросов опасных веществ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1.3.2.1.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Технические решения по безопасному отсечению потоков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740" w:type="dxa"/>
            <w:gridSpan w:val="3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«нет», «не требуется»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1.3.2.2.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Системы аварийного освобождения емкостного технологического оборудования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1.3.2.3.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Технические решения по ограничению, локализации и дальнейшей утилизации выбросов опасных веществ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1.3.3.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Системы автоматического регулирования, блокировок, сигнализаций и других средств обеспечения безопасности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1.3.3.1.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Системы автоматического регулирования технологического процесса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740" w:type="dxa"/>
            <w:gridSpan w:val="3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«нет», «не требуется»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1.3.3.2.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Системы блокировок технологического процесса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1.3.3.3.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Системы сигнализаций технологического процесса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1.3.3.4.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Наличие пункта и автоматизированной системы управления производственным процессом, функционирующих в условиях чрезвычайных ситуаций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1.4.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Выполнение предписаний Ростехнадзора, выданных по итогам последней плановой проверки [А, ПБ, ТР]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>1.4.1.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>Количество выявленных по итогам последней плановой проверки нарушений требований промышленной безопасности (общее)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1740" w:type="dxa"/>
            <w:gridSpan w:val="3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число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>1.4.2.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 xml:space="preserve">Количество </w:t>
            </w:r>
            <w:proofErr w:type="spellStart"/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>неустраненных</w:t>
            </w:r>
            <w:proofErr w:type="spellEnd"/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 xml:space="preserve"> в срок нарушений требований промышленной безопасности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1.5.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Наличие лицензий, необходимых для ведения производственной деятельности [Р, ПБ, Ю]</w:t>
            </w:r>
          </w:p>
        </w:tc>
      </w:tr>
      <w:tr w:rsidR="00803A6D" w:rsidRPr="002D1473" w:rsidTr="002C5A6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03A6D" w:rsidRPr="002D1473" w:rsidRDefault="00803A6D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1.5.1.</w:t>
            </w:r>
          </w:p>
        </w:tc>
        <w:tc>
          <w:tcPr>
            <w:tcW w:w="62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3A6D" w:rsidRPr="002D1473" w:rsidRDefault="00803A6D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Лицензия на осуществление деятельности по эксплуатации взрывопожароопасных производственных объектов</w:t>
            </w:r>
          </w:p>
        </w:tc>
        <w:tc>
          <w:tcPr>
            <w:tcW w:w="7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803A6D" w:rsidRPr="002D1473" w:rsidRDefault="00803A6D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731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03A6D" w:rsidRPr="002D1473" w:rsidRDefault="00803A6D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«есть», «в стадии оформления», «не требуется»</w:t>
            </w:r>
          </w:p>
        </w:tc>
      </w:tr>
      <w:tr w:rsidR="00803A6D" w:rsidRPr="002D1473" w:rsidTr="002C5A6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03A6D" w:rsidRPr="002D1473" w:rsidRDefault="00803A6D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1.5.2.</w:t>
            </w:r>
          </w:p>
        </w:tc>
        <w:tc>
          <w:tcPr>
            <w:tcW w:w="62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3A6D" w:rsidRPr="002D1473" w:rsidRDefault="00803A6D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Лицензия на осуществление деятельности по эксплуатации химически опасных производственных объектов</w:t>
            </w:r>
          </w:p>
        </w:tc>
        <w:tc>
          <w:tcPr>
            <w:tcW w:w="7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803A6D" w:rsidRPr="002D1473" w:rsidRDefault="00803A6D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731" w:type="dxa"/>
            <w:gridSpan w:val="2"/>
            <w:vMerge/>
            <w:tcBorders>
              <w:left w:val="single" w:sz="8" w:space="0" w:color="000000"/>
              <w:right w:val="single" w:sz="4" w:space="0" w:color="000000"/>
            </w:tcBorders>
            <w:shd w:val="clear" w:color="auto" w:fill="auto"/>
          </w:tcPr>
          <w:p w:rsidR="00803A6D" w:rsidRPr="002D1473" w:rsidRDefault="00803A6D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803A6D" w:rsidRPr="002D1473" w:rsidTr="00565A67">
        <w:trPr>
          <w:trHeight w:val="1152"/>
        </w:trPr>
        <w:tc>
          <w:tcPr>
            <w:tcW w:w="1111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803A6D" w:rsidRPr="00575952" w:rsidRDefault="00803A6D" w:rsidP="000637E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575952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1.5.3.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803A6D" w:rsidRPr="00F21C01" w:rsidRDefault="00803A6D" w:rsidP="000637E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21C0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Лицензия на осуществление деятельности, связанной с обращением взрывчатых материалов промышленного назначения</w:t>
            </w:r>
          </w:p>
        </w:tc>
        <w:tc>
          <w:tcPr>
            <w:tcW w:w="793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803A6D" w:rsidRPr="00F21C01" w:rsidRDefault="00803A6D" w:rsidP="000637E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637510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731" w:type="dxa"/>
            <w:gridSpan w:val="2"/>
            <w:vMerge/>
            <w:tcBorders>
              <w:left w:val="single" w:sz="8" w:space="0" w:color="000000"/>
              <w:right w:val="single" w:sz="4" w:space="0" w:color="000000"/>
            </w:tcBorders>
            <w:shd w:val="clear" w:color="auto" w:fill="auto"/>
          </w:tcPr>
          <w:p w:rsidR="00803A6D" w:rsidRPr="002D1473" w:rsidRDefault="00803A6D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803A6D" w:rsidRPr="002D1473" w:rsidTr="00565A67">
        <w:trPr>
          <w:trHeight w:val="1152"/>
        </w:trPr>
        <w:tc>
          <w:tcPr>
            <w:tcW w:w="1111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803A6D" w:rsidRPr="00575952" w:rsidRDefault="00803A6D" w:rsidP="000637E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575952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1.5.4.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803A6D" w:rsidRPr="00F21C01" w:rsidRDefault="00803A6D" w:rsidP="000637E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21C0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Лицензия на осуществление деятельности, связанной с эксплуатацией взрывопожароопасных и химически опасных производственных объектов I, II и III классов опасности</w:t>
            </w:r>
          </w:p>
        </w:tc>
        <w:tc>
          <w:tcPr>
            <w:tcW w:w="793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803A6D" w:rsidRPr="00F21C01" w:rsidRDefault="00803A6D" w:rsidP="000637E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637510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731" w:type="dxa"/>
            <w:gridSpan w:val="2"/>
            <w:vMerge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03A6D" w:rsidRPr="002D1473" w:rsidRDefault="00803A6D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1.6.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Проведение диагностики/экспертизы/планового ремонта оборудования / зданий /сооружений [А, ПБ, Т]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1.6.1.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Наличие графика проведения диагностики (испытаний, освидетельствований)/экспертизы/планового ремонта оборудования (технических устройств), сооружений (зданий)</w:t>
            </w:r>
          </w:p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да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«да», «нет»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1.6.2.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Процент соблюдения графика проведения диагностики (испытаний, освидетельствований)/экспертизы/планового ремонта оборудования (технических устройств), сооружений (зданий)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100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число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lastRenderedPageBreak/>
              <w:t>1.7.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Наличие документации по промышленной безопасности [А, ПБ, ТР, Р]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1.7.1.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Положение о производственном контроле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«нет», «не требуется»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1.7.2.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803A6D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F21C0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План мероприятий по локализации и ликвидации последствий аварий, согласованный и утвержденный в установленном порядке.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1.7.3.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Декларация промышленной безопасности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1.8.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Сведения о системе сбора информации о произошедших инцидентах и </w:t>
            </w:r>
            <w:proofErr w:type="gramStart"/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авариях</w:t>
            </w:r>
            <w:proofErr w:type="gramEnd"/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 и анализе этой информации [А, ПБ, ТР]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1.8.1.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Система сбора информации о произошедших инцидентах и авариях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1.8.2.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Анализ информации о произошедших инцидентах и авариях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1.9.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Сведения о профессиональной подготовке персонала [А, ПБ, ТР, Т, К]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1.9.1.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Система профессиональной подготовки персонала (рабочих, ИТР и специалистов)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1.9.2.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Система профессионального отбора персонала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1.9.3.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Порядок допуска персонала к самостоятельной работе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1.9.4.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Обучение и аттестация персонала по промышленной безопасности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</w:tbl>
    <w:p w:rsidR="002D1473" w:rsidRPr="002D1473" w:rsidRDefault="002D1473" w:rsidP="002D1473">
      <w:pPr>
        <w:spacing w:after="0" w:line="240" w:lineRule="auto"/>
        <w:rPr>
          <w:rFonts w:ascii="Times New Roman" w:eastAsia="Batang" w:hAnsi="Times New Roman" w:cs="Times New Roman"/>
          <w:b/>
          <w:sz w:val="24"/>
          <w:szCs w:val="24"/>
          <w:lang w:eastAsia="ar-SA"/>
        </w:rPr>
      </w:pPr>
    </w:p>
    <w:p w:rsidR="002D1473" w:rsidRPr="002D1473" w:rsidRDefault="002D1473" w:rsidP="002D1473">
      <w:pPr>
        <w:spacing w:after="0" w:line="240" w:lineRule="auto"/>
        <w:jc w:val="center"/>
        <w:rPr>
          <w:rFonts w:ascii="Times New Roman" w:eastAsia="Batang" w:hAnsi="Times New Roman" w:cs="Times New Roman"/>
          <w:b/>
          <w:sz w:val="24"/>
          <w:szCs w:val="24"/>
          <w:lang w:eastAsia="ar-SA"/>
        </w:rPr>
      </w:pPr>
      <w:r w:rsidRPr="002D1473">
        <w:rPr>
          <w:rFonts w:ascii="Times New Roman" w:eastAsia="Batang" w:hAnsi="Times New Roman" w:cs="Times New Roman"/>
          <w:b/>
          <w:sz w:val="24"/>
          <w:szCs w:val="24"/>
          <w:lang w:eastAsia="ar-SA"/>
        </w:rPr>
        <w:t>2. СВЕДЕНИЯ О ПОЖАРНОЙ БЕЗОПАСНОСТИ ОПАСНОГО ОБЪЕКТА</w:t>
      </w:r>
    </w:p>
    <w:p w:rsidR="002D1473" w:rsidRPr="002D1473" w:rsidRDefault="002D1473" w:rsidP="002D1473">
      <w:pPr>
        <w:spacing w:after="0" w:line="240" w:lineRule="auto"/>
        <w:jc w:val="center"/>
        <w:rPr>
          <w:rFonts w:ascii="Times New Roman" w:eastAsia="Batang" w:hAnsi="Times New Roman" w:cs="Times New Roman"/>
          <w:b/>
          <w:sz w:val="24"/>
          <w:szCs w:val="24"/>
          <w:lang w:eastAsia="ar-SA"/>
        </w:rPr>
      </w:pPr>
    </w:p>
    <w:tbl>
      <w:tblPr>
        <w:tblW w:w="9872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1101"/>
        <w:gridCol w:w="6237"/>
        <w:gridCol w:w="850"/>
        <w:gridCol w:w="1684"/>
      </w:tblGrid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2.1.</w:t>
            </w:r>
          </w:p>
        </w:tc>
        <w:tc>
          <w:tcPr>
            <w:tcW w:w="87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Технические решения по обеспечению пожарной безопасности [ПС, ТР]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2.1.1.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Архитектурные и конструкционные решения по локализации пожара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«нет»,</w:t>
            </w:r>
          </w:p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«не требуется»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2.1.2.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Оборудование зданий и сооружений системами автоматической пожарной сигнализации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2.1.3.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Объектовые запасы воды для пожаротушения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2.1.4.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Внутренний противопожарный водопровод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2.1.5.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Внешние </w:t>
            </w:r>
            <w:proofErr w:type="spellStart"/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водоисточники</w:t>
            </w:r>
            <w:proofErr w:type="spellEnd"/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2.1.6.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Оборудование зданий и сооружений автоматическими установками пожаротушения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2.1.7.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Ручные средства пожаротушения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2.1.8.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Система организации и управления эвакуацией людей при пожаре (СОУЭ)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2.2.</w:t>
            </w:r>
          </w:p>
        </w:tc>
        <w:tc>
          <w:tcPr>
            <w:tcW w:w="87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Выполнение предписаний МЧС России (в области пожарной безопасности), выданных по итогам последней плановой проверки [ПС, ТР]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>2.2.1.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>Количество выявленных по итогам последней плановой проверки нарушений требований пожарной безопасности (общее)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число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>2.2.2.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 xml:space="preserve">Количество </w:t>
            </w:r>
            <w:proofErr w:type="spellStart"/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>неустраненных</w:t>
            </w:r>
            <w:proofErr w:type="spellEnd"/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 xml:space="preserve"> в срок нарушений требований пожарной безопасности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2.3.</w:t>
            </w:r>
          </w:p>
        </w:tc>
        <w:tc>
          <w:tcPr>
            <w:tcW w:w="87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Наличие документации по пожарной безопасности [ПС, ТР, Р]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2.3.1.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Декларация пожарной безопасности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«нет», «не требуется»</w:t>
            </w: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2.3.2.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План пожаротушения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2.3.3.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План эвакуации при пожаре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2.3.4.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Инструкции по мерам пожарной безопасности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</w:tbl>
    <w:p w:rsidR="002D1473" w:rsidRPr="002D1473" w:rsidRDefault="002D1473" w:rsidP="002D1473">
      <w:pPr>
        <w:spacing w:after="120" w:line="240" w:lineRule="auto"/>
        <w:rPr>
          <w:rFonts w:ascii="Times New Roman" w:eastAsia="Times New Roman" w:hAnsi="Times New Roman" w:cs="Times New Roman"/>
          <w:sz w:val="16"/>
          <w:szCs w:val="16"/>
          <w:lang w:eastAsia="ar-SA"/>
        </w:rPr>
      </w:pPr>
    </w:p>
    <w:p w:rsidR="002D1473" w:rsidRPr="002D1473" w:rsidRDefault="002D1473" w:rsidP="002D1473">
      <w:pPr>
        <w:spacing w:after="0" w:line="240" w:lineRule="auto"/>
        <w:jc w:val="center"/>
        <w:rPr>
          <w:rFonts w:ascii="Times New Roman" w:eastAsia="Batang" w:hAnsi="Times New Roman" w:cs="Times New Roman"/>
          <w:b/>
          <w:sz w:val="24"/>
          <w:szCs w:val="24"/>
          <w:lang w:eastAsia="ar-SA"/>
        </w:rPr>
      </w:pPr>
      <w:r w:rsidRPr="002D1473">
        <w:rPr>
          <w:rFonts w:ascii="Times New Roman" w:eastAsia="Batang" w:hAnsi="Times New Roman" w:cs="Times New Roman"/>
          <w:b/>
          <w:sz w:val="24"/>
          <w:szCs w:val="24"/>
          <w:lang w:eastAsia="ar-SA"/>
        </w:rPr>
        <w:lastRenderedPageBreak/>
        <w:t>3. СВЕДЕНИЯ О ГОТОВНОСТИ ВЛАДЕЛЬЦА ОПАСНОГО ОБЪЕКТА К ПРЕДУПРЕЖДЕНИЮ, ЛОКАЛИЗАЦИИ И ЛИКВИДАЦИИ ПОСЛЕДСТВИЙ ВОЗМОЖНОЙ АВАРИИ НА ОПАСНОМ ОБЪЕКТЕ</w:t>
      </w:r>
    </w:p>
    <w:p w:rsidR="002D1473" w:rsidRPr="002D1473" w:rsidRDefault="002D1473" w:rsidP="002D1473">
      <w:pPr>
        <w:spacing w:after="12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</w:p>
    <w:tbl>
      <w:tblPr>
        <w:tblW w:w="9899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10"/>
        <w:gridCol w:w="1091"/>
        <w:gridCol w:w="10"/>
        <w:gridCol w:w="6520"/>
        <w:gridCol w:w="851"/>
        <w:gridCol w:w="1356"/>
        <w:gridCol w:w="61"/>
      </w:tblGrid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3.1.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Резервирование систем обеспечения опасного объекта [ЧС, ПБ, ТР, Т]</w:t>
            </w:r>
          </w:p>
        </w:tc>
      </w:tr>
      <w:tr w:rsidR="002D1473" w:rsidRPr="002D1473" w:rsidTr="002C5A6B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3.1.1.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Резервные источники электроснабжения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«нет», «не требуется»</w:t>
            </w:r>
          </w:p>
        </w:tc>
      </w:tr>
      <w:tr w:rsidR="002D1473" w:rsidRPr="002D1473" w:rsidTr="002C5A6B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3.1.2.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Резервные источники водоснабжения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2C5A6B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3.1.3.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Резервные системы связи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3.2.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Выполнение предписаний МЧС России (в области ГО ЧС), выданных по итогам последней плановой проверки [ЧС, ТР]</w:t>
            </w:r>
          </w:p>
        </w:tc>
      </w:tr>
      <w:tr w:rsidR="002D1473" w:rsidRPr="002D1473" w:rsidTr="002C5A6B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>3.2.1.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 xml:space="preserve">Количество выявленных по итогам последней плановой проверки нарушений требований </w:t>
            </w: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в области ГО ЧС</w:t>
            </w:r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 xml:space="preserve"> (общее)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число</w:t>
            </w:r>
          </w:p>
        </w:tc>
      </w:tr>
      <w:tr w:rsidR="002D1473" w:rsidRPr="002D1473" w:rsidTr="002C5A6B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>3.2.2.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 xml:space="preserve">Количество </w:t>
            </w:r>
            <w:proofErr w:type="spellStart"/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>неустраненных</w:t>
            </w:r>
            <w:proofErr w:type="spellEnd"/>
            <w:r w:rsidRPr="002D1473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ar-SA"/>
              </w:rPr>
              <w:t xml:space="preserve"> в срок нарушений требований </w:t>
            </w: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в области ГО ЧС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3.3.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Наличие документации по гражданской обороне, предупреждению и ликвидации чрезвычайных ситуаций [ЧС, ТР, Р]</w:t>
            </w: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3.3.1.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Паспорт безопасности опасного объекта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«нет», «не требуется»</w:t>
            </w: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3.3.2.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План ликвидации аварийных разливов нефти и нефтепродуктов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3.3.3.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План мероприятий по предупреждению и ликвидации ЧС природного и техногенного характера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3.3.4.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Положение по организации прогнозирования техногенных чрезвычайных ситуаций на опасном объекте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3.3.5.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План подготовки руководящего состава и специалистов по вопросам  предупреждения, локализации и ликвидации чрезвычайных ситуаций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3.3.6.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План гражданской обороны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3.3.7.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Положение об органе управления по делам гражданской обороны и чрезвычайным ситуациям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3.4.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Последний срок оценки готовности опасного объекта к локализации и ликвидации чрезвычайных ситуаций и достаточности сил и средств по защите населения и территорий от чрезвычайных ситуаций [ЧС, ТР, Р]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770C8" w:rsidRPr="001770C8" w:rsidRDefault="001770C8" w:rsidP="001770C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1770C8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10.10.</w:t>
            </w:r>
          </w:p>
          <w:p w:rsidR="002D1473" w:rsidRPr="002D1473" w:rsidRDefault="001770C8" w:rsidP="001770C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1770C8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2016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дата / прочерк</w:t>
            </w: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3.5.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Финансовые и материальные ресурсы для локализации и ликвидации последствий аварий [А, ЧС, ТР, Р, Б]</w:t>
            </w: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3.5.1.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Финансовые ресурсы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</w:t>
            </w: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3.5.2.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Материальные ресурсы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3.6.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Сведения о противоаварийной подготовке персонала [А, ПБ, ЧС, ТР, К]</w:t>
            </w: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3.6.1.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Система обучения персонала действиям в случае возникновения аварийной ситуации на опасном объекте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</w:t>
            </w: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3.6.2.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Проведение учебно-тренировочных занятий по готовности персонала к действиям в случае возникновения аварийной ситуации согласно графику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3.6.3.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Проведение учебных тревог по готовности рабочих к действиям в случае возникновения аварийной ситуации с участием производственного персонала, членов профессиональных и нештатных аварийно-спасательных формирований, пожарной охраны, медико-санитарной и других служб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3.6.4.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Наличие специальных стендов, тренажеров и т. п. для тренировок по планам ликвидации аварий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3.7.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Силы и средства ликвидации аварии, аварийно-спасательные и другие службы обеспечения промышленной безопасности и защиты в ЧС [А, ПБ, ЧС, ТР, Р]</w:t>
            </w: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3.7.1.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Объектовая пожарная охрана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</w:t>
            </w: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lastRenderedPageBreak/>
              <w:t>тся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lastRenderedPageBreak/>
              <w:t xml:space="preserve">«есть», «нет», «не </w:t>
            </w: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lastRenderedPageBreak/>
              <w:t>требуется»</w:t>
            </w: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lastRenderedPageBreak/>
              <w:t>3.7.2.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Газоспасательные подразделения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3.7.3.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Медицинская служба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3.7.4.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Невоенизированные формирования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3.7.5.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Аварийно-восстановительные подразделения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3.8.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Порядок взаимодействия сил и средств организации с другими организациями по предупреждению, локализации и ликвидации аварий [ПБ, ЧС, ТР, Р]</w:t>
            </w: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3.8.1.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Порядок взаимодействия сил и средств организации с другими организациями по предупреждению, локализации и ликвидации аварий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</w:t>
            </w: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3.9.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Технические системы оповещения [ПБ, ЧС, ТР, Р]</w:t>
            </w: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3.9.1.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Оповещение персонала объекта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</w:t>
            </w: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3.9.2.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Оповещение соседних организаций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left w:val="single" w:sz="8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3.9.3.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Оповещение населения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left w:val="single" w:sz="8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3.9.4.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Оповещение МЧС России, Ростехнадзора, иных заинтересованных органов власти и организаций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left w:val="single" w:sz="8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Batang" w:hAnsi="Times New Roman" w:cs="Times New Roman"/>
                <w:color w:val="000000"/>
                <w:sz w:val="20"/>
                <w:szCs w:val="20"/>
                <w:lang w:eastAsia="ar-SA"/>
              </w:rPr>
              <w:t>3.9.5.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Наличие локальной системы оповещения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2D1473" w:rsidRPr="002D1473" w:rsidTr="004E1A8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3.10.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Сведения о необходимых действиях населения при возникновении аварий [ПБ, ЧС]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473" w:rsidRPr="002D1473" w:rsidRDefault="002D1473" w:rsidP="002D1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</w:t>
            </w:r>
          </w:p>
        </w:tc>
      </w:tr>
      <w:tr w:rsidR="002D1473" w:rsidRPr="002D1473" w:rsidTr="004E1A8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gridAfter w:val="1"/>
          <w:wBefore w:w="10" w:type="dxa"/>
          <w:wAfter w:w="61" w:type="dxa"/>
        </w:trPr>
        <w:tc>
          <w:tcPr>
            <w:tcW w:w="1101" w:type="dxa"/>
            <w:gridSpan w:val="2"/>
            <w:shd w:val="clear" w:color="auto" w:fill="D9D9D9"/>
            <w:vAlign w:val="center"/>
          </w:tcPr>
          <w:p w:rsidR="002D1473" w:rsidRPr="002D1473" w:rsidRDefault="002D1473" w:rsidP="002D1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3.11.</w:t>
            </w:r>
          </w:p>
        </w:tc>
        <w:tc>
          <w:tcPr>
            <w:tcW w:w="8727" w:type="dxa"/>
            <w:gridSpan w:val="3"/>
            <w:shd w:val="clear" w:color="auto" w:fill="D9D9D9"/>
          </w:tcPr>
          <w:p w:rsidR="002D1473" w:rsidRPr="002D1473" w:rsidRDefault="002D1473" w:rsidP="002D1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Меры по предотвращению проникновения посторонних лиц на опасный производственный объект</w:t>
            </w: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 [О, ЧС, ТР, Р]</w:t>
            </w:r>
          </w:p>
        </w:tc>
      </w:tr>
      <w:tr w:rsidR="002D1473" w:rsidRPr="002D1473" w:rsidTr="002C5A6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gridAfter w:val="1"/>
          <w:wBefore w:w="10" w:type="dxa"/>
          <w:wAfter w:w="61" w:type="dxa"/>
          <w:trHeight w:val="1658"/>
        </w:trPr>
        <w:tc>
          <w:tcPr>
            <w:tcW w:w="1101" w:type="dxa"/>
            <w:gridSpan w:val="2"/>
            <w:vAlign w:val="center"/>
          </w:tcPr>
          <w:p w:rsidR="002D1473" w:rsidRPr="002D1473" w:rsidRDefault="002D1473" w:rsidP="002D1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3.11.1.</w:t>
            </w:r>
          </w:p>
        </w:tc>
        <w:tc>
          <w:tcPr>
            <w:tcW w:w="6520" w:type="dxa"/>
            <w:tcBorders>
              <w:right w:val="single" w:sz="4" w:space="0" w:color="auto"/>
            </w:tcBorders>
          </w:tcPr>
          <w:p w:rsidR="002D1473" w:rsidRPr="002D1473" w:rsidRDefault="002D1473" w:rsidP="002D147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План взаимодействия с подразделениями ФСБ России, внутренними войсками МВД России, подразделениями вневедомственной охраны МВД России в случае </w:t>
            </w: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проникновения посторонних лиц на опасный производственный объект</w:t>
            </w: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 xml:space="preserve"> / несанкционированного вмешательства в деятельность объекта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D1473" w:rsidRPr="002D1473" w:rsidRDefault="002D1473" w:rsidP="002D147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 требуется</w:t>
            </w:r>
          </w:p>
        </w:tc>
        <w:tc>
          <w:tcPr>
            <w:tcW w:w="1356" w:type="dxa"/>
            <w:tcBorders>
              <w:left w:val="single" w:sz="4" w:space="0" w:color="auto"/>
            </w:tcBorders>
            <w:vAlign w:val="center"/>
          </w:tcPr>
          <w:p w:rsidR="002D1473" w:rsidRPr="002D1473" w:rsidRDefault="002D1473" w:rsidP="002D1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«нет», «не требуется»</w:t>
            </w:r>
          </w:p>
        </w:tc>
      </w:tr>
      <w:tr w:rsidR="002D1473" w:rsidRPr="002D1473" w:rsidTr="002C5A6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gridAfter w:val="1"/>
          <w:wBefore w:w="10" w:type="dxa"/>
          <w:wAfter w:w="61" w:type="dxa"/>
        </w:trPr>
        <w:tc>
          <w:tcPr>
            <w:tcW w:w="1101" w:type="dxa"/>
            <w:gridSpan w:val="2"/>
            <w:vAlign w:val="center"/>
          </w:tcPr>
          <w:p w:rsidR="002D1473" w:rsidRPr="002D1473" w:rsidRDefault="002D1473" w:rsidP="002D1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3.11.2.</w:t>
            </w:r>
          </w:p>
        </w:tc>
        <w:tc>
          <w:tcPr>
            <w:tcW w:w="6520" w:type="dxa"/>
            <w:tcBorders>
              <w:right w:val="single" w:sz="4" w:space="0" w:color="auto"/>
            </w:tcBorders>
          </w:tcPr>
          <w:p w:rsidR="002D1473" w:rsidRPr="002D1473" w:rsidRDefault="002D1473" w:rsidP="002D147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Наличие технических средств защиты (инженерные заграждения, автоматизированные системы контроля и управления доступом, системы обнаружения несанкционированного проникновения  на территорию и т.п.)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1473" w:rsidRPr="002D1473" w:rsidRDefault="002D1473" w:rsidP="002D147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есть</w:t>
            </w:r>
          </w:p>
        </w:tc>
        <w:tc>
          <w:tcPr>
            <w:tcW w:w="1356" w:type="dxa"/>
            <w:vMerge w:val="restart"/>
            <w:tcBorders>
              <w:left w:val="single" w:sz="4" w:space="0" w:color="auto"/>
            </w:tcBorders>
            <w:vAlign w:val="center"/>
          </w:tcPr>
          <w:p w:rsidR="002D1473" w:rsidRPr="002D1473" w:rsidRDefault="002D1473" w:rsidP="002D1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«есть», «нет»</w:t>
            </w:r>
          </w:p>
        </w:tc>
      </w:tr>
      <w:tr w:rsidR="002D1473" w:rsidRPr="002D1473" w:rsidTr="002C5A6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gridAfter w:val="1"/>
          <w:wBefore w:w="10" w:type="dxa"/>
          <w:wAfter w:w="61" w:type="dxa"/>
        </w:trPr>
        <w:tc>
          <w:tcPr>
            <w:tcW w:w="1101" w:type="dxa"/>
            <w:gridSpan w:val="2"/>
            <w:vAlign w:val="center"/>
          </w:tcPr>
          <w:p w:rsidR="002D1473" w:rsidRPr="002D1473" w:rsidRDefault="002D1473" w:rsidP="002D1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3.11.3.</w:t>
            </w:r>
          </w:p>
        </w:tc>
        <w:tc>
          <w:tcPr>
            <w:tcW w:w="6520" w:type="dxa"/>
            <w:tcBorders>
              <w:right w:val="single" w:sz="4" w:space="0" w:color="auto"/>
            </w:tcBorders>
          </w:tcPr>
          <w:p w:rsidR="002D1473" w:rsidRPr="002D1473" w:rsidRDefault="002D1473" w:rsidP="002D147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ar-SA"/>
              </w:rPr>
              <w:t>Наличие физической защиты (охрана, патрульные группы, караульные собаки и т.п.)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D1473" w:rsidRPr="002D1473" w:rsidRDefault="002D1473" w:rsidP="002D147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473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нет</w:t>
            </w:r>
          </w:p>
        </w:tc>
        <w:tc>
          <w:tcPr>
            <w:tcW w:w="1356" w:type="dxa"/>
            <w:vMerge/>
            <w:tcBorders>
              <w:left w:val="single" w:sz="4" w:space="0" w:color="auto"/>
            </w:tcBorders>
          </w:tcPr>
          <w:p w:rsidR="002D1473" w:rsidRPr="002D1473" w:rsidRDefault="002D1473" w:rsidP="002D1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</w:tbl>
    <w:p w:rsidR="002D1473" w:rsidRPr="002D1473" w:rsidRDefault="002D1473" w:rsidP="002D1473">
      <w:pPr>
        <w:spacing w:before="120" w:after="12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</w:pPr>
    </w:p>
    <w:p w:rsidR="00A35C3B" w:rsidRDefault="00A35C3B"/>
    <w:sectPr w:rsidR="00A35C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1473"/>
    <w:rsid w:val="001770C8"/>
    <w:rsid w:val="001B5D38"/>
    <w:rsid w:val="001F2659"/>
    <w:rsid w:val="00290580"/>
    <w:rsid w:val="002B19EF"/>
    <w:rsid w:val="002C5A6B"/>
    <w:rsid w:val="002D1473"/>
    <w:rsid w:val="00337B27"/>
    <w:rsid w:val="003560FB"/>
    <w:rsid w:val="0038094F"/>
    <w:rsid w:val="00443941"/>
    <w:rsid w:val="005B7A22"/>
    <w:rsid w:val="005E0631"/>
    <w:rsid w:val="005E0CC6"/>
    <w:rsid w:val="00610FAC"/>
    <w:rsid w:val="006A1FF5"/>
    <w:rsid w:val="006C0315"/>
    <w:rsid w:val="006F6161"/>
    <w:rsid w:val="00722707"/>
    <w:rsid w:val="00752ECE"/>
    <w:rsid w:val="007804D7"/>
    <w:rsid w:val="007A4B68"/>
    <w:rsid w:val="007C0CA0"/>
    <w:rsid w:val="007F2202"/>
    <w:rsid w:val="00803A6D"/>
    <w:rsid w:val="008A1B3E"/>
    <w:rsid w:val="008A5E46"/>
    <w:rsid w:val="009246C3"/>
    <w:rsid w:val="009E62AB"/>
    <w:rsid w:val="00A3261A"/>
    <w:rsid w:val="00A35C3B"/>
    <w:rsid w:val="00A84553"/>
    <w:rsid w:val="00AF3678"/>
    <w:rsid w:val="00B5422D"/>
    <w:rsid w:val="00B56376"/>
    <w:rsid w:val="00B65833"/>
    <w:rsid w:val="00CC7CA9"/>
    <w:rsid w:val="00FF07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8AD809D-AE4A-4AD4-A4ED-B7D033BAE6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0689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1489</Words>
  <Characters>8491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Omskoblgaz</Company>
  <LinksUpToDate>false</LinksUpToDate>
  <CharactersWithSpaces>9961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Васильева Софья Андреевна</cp:lastModifiedBy>
  <cp:revision>14</cp:revision>
  <dcterms:created xsi:type="dcterms:W3CDTF">2012-02-03T08:52:00Z</dcterms:created>
  <dcterms:modified xsi:type="dcterms:W3CDTF">2017-01-28T08:48:00Z</dcterms:modified>
</cp:coreProperties>
</file>